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BE8E" w14:textId="16AEA72C" w:rsidR="001C3E6B" w:rsidRPr="00546F4C" w:rsidRDefault="001C3E6B" w:rsidP="001C3E6B">
      <w:pPr>
        <w:rPr>
          <w:rFonts w:ascii="Open Sans" w:hAnsi="Open Sans" w:cs="Open Sans"/>
          <w:b/>
          <w:bCs/>
          <w:color w:val="333333"/>
          <w:sz w:val="20"/>
          <w:szCs w:val="20"/>
          <w:shd w:val="clear" w:color="auto" w:fill="FFFFFF"/>
        </w:rPr>
      </w:pPr>
      <w:r w:rsidRPr="00546F4C">
        <w:rPr>
          <w:rFonts w:ascii="Open Sans" w:hAnsi="Open Sans" w:cs="Open Sans"/>
          <w:b/>
          <w:bCs/>
          <w:color w:val="333333"/>
          <w:sz w:val="20"/>
          <w:szCs w:val="20"/>
          <w:shd w:val="clear" w:color="auto" w:fill="FFFFFF"/>
        </w:rPr>
        <w:t>WWF-Việt Nam: Gói thầu số hiệu FY23</w:t>
      </w:r>
      <w:r w:rsidR="00546F4C">
        <w:rPr>
          <w:rFonts w:ascii="Open Sans" w:hAnsi="Open Sans" w:cs="Open Sans"/>
          <w:b/>
          <w:bCs/>
          <w:color w:val="333333"/>
          <w:sz w:val="20"/>
          <w:szCs w:val="20"/>
          <w:shd w:val="clear" w:color="auto" w:fill="FFFFFF"/>
        </w:rPr>
        <w:t>-</w:t>
      </w:r>
      <w:r w:rsidRPr="00546F4C">
        <w:rPr>
          <w:rFonts w:ascii="Open Sans" w:hAnsi="Open Sans" w:cs="Open Sans"/>
          <w:b/>
          <w:bCs/>
          <w:color w:val="333333"/>
          <w:sz w:val="20"/>
          <w:szCs w:val="20"/>
          <w:shd w:val="clear" w:color="auto" w:fill="FFFFFF"/>
        </w:rPr>
        <w:t>0972</w:t>
      </w:r>
      <w:r w:rsidRPr="00546F4C">
        <w:rPr>
          <w:rFonts w:ascii="Open Sans" w:hAnsi="Open Sans" w:cs="Open Sans"/>
          <w:b/>
          <w:bCs/>
          <w:color w:val="333333"/>
          <w:sz w:val="20"/>
          <w:szCs w:val="20"/>
          <w:shd w:val="clear" w:color="auto" w:fill="FFFFFF"/>
        </w:rPr>
        <w:t xml:space="preserve">: </w:t>
      </w:r>
      <w:r w:rsidRPr="00546F4C">
        <w:rPr>
          <w:rFonts w:ascii="Open Sans" w:hAnsi="Open Sans" w:cs="Open Sans"/>
          <w:b/>
          <w:bCs/>
          <w:color w:val="333333"/>
          <w:sz w:val="20"/>
          <w:szCs w:val="20"/>
          <w:shd w:val="clear" w:color="auto" w:fill="FFFFFF"/>
        </w:rPr>
        <w:t>Làm rõ Hồ sơ mời nộp đề xuất</w:t>
      </w:r>
    </w:p>
    <w:p w14:paraId="14175F5D" w14:textId="77777777" w:rsidR="001C3E6B" w:rsidRPr="00546F4C" w:rsidRDefault="001C3E6B" w:rsidP="001C3E6B">
      <w:pPr>
        <w:pStyle w:val="NoSpacing"/>
        <w:rPr>
          <w:rFonts w:ascii="Open Sans" w:hAnsi="Open Sans" w:cs="Open Sans"/>
          <w:color w:val="333333"/>
          <w:sz w:val="20"/>
          <w:szCs w:val="20"/>
          <w:shd w:val="clear" w:color="auto" w:fill="FFFFFF"/>
        </w:rPr>
      </w:pPr>
    </w:p>
    <w:p w14:paraId="3B3D79A3" w14:textId="77777777" w:rsidR="005F28B6" w:rsidRDefault="005F28B6" w:rsidP="001C3E6B">
      <w:pPr>
        <w:spacing w:line="360" w:lineRule="auto"/>
        <w:rPr>
          <w:rFonts w:ascii="Open Sans" w:hAnsi="Open Sans" w:cs="Open Sans"/>
          <w:color w:val="333333"/>
          <w:sz w:val="21"/>
          <w:szCs w:val="21"/>
          <w:shd w:val="clear" w:color="auto" w:fill="FFFFFF"/>
        </w:rPr>
      </w:pPr>
    </w:p>
    <w:p w14:paraId="1D217D30" w14:textId="0E99BEE8" w:rsidR="001C3E6B" w:rsidRPr="005F28B6" w:rsidRDefault="001C3E6B" w:rsidP="001C3E6B">
      <w:pPr>
        <w:spacing w:line="360" w:lineRule="auto"/>
        <w:rPr>
          <w:rFonts w:ascii="Open Sans" w:hAnsi="Open Sans" w:cs="Open Sans"/>
          <w:color w:val="333333"/>
          <w:sz w:val="21"/>
          <w:szCs w:val="21"/>
          <w:shd w:val="clear" w:color="auto" w:fill="FFFFFF"/>
        </w:rPr>
      </w:pPr>
      <w:r w:rsidRPr="005F28B6">
        <w:rPr>
          <w:rFonts w:ascii="Open Sans" w:hAnsi="Open Sans" w:cs="Open Sans"/>
          <w:color w:val="333333"/>
          <w:sz w:val="21"/>
          <w:szCs w:val="21"/>
          <w:shd w:val="clear" w:color="auto" w:fill="FFFFFF"/>
        </w:rPr>
        <w:t>Gói thầu số hiệu. FY23</w:t>
      </w:r>
      <w:r w:rsidR="00546F4C" w:rsidRPr="005F28B6">
        <w:rPr>
          <w:rFonts w:ascii="Open Sans" w:hAnsi="Open Sans" w:cs="Open Sans"/>
          <w:color w:val="333333"/>
          <w:sz w:val="21"/>
          <w:szCs w:val="21"/>
          <w:shd w:val="clear" w:color="auto" w:fill="FFFFFF"/>
        </w:rPr>
        <w:t>-</w:t>
      </w:r>
      <w:r w:rsidRPr="005F28B6">
        <w:rPr>
          <w:rFonts w:ascii="Open Sans" w:hAnsi="Open Sans" w:cs="Open Sans"/>
          <w:color w:val="333333"/>
          <w:sz w:val="21"/>
          <w:szCs w:val="21"/>
          <w:shd w:val="clear" w:color="auto" w:fill="FFFFFF"/>
        </w:rPr>
        <w:t xml:space="preserve">0972; Tên gói thầu </w:t>
      </w:r>
      <w:r w:rsidRPr="005F28B6">
        <w:rPr>
          <w:rFonts w:ascii="Open Sans" w:hAnsi="Open Sans" w:cs="Open Sans"/>
          <w:color w:val="333333"/>
          <w:sz w:val="21"/>
          <w:szCs w:val="21"/>
          <w:shd w:val="clear" w:color="auto" w:fill="FFFFFF"/>
        </w:rPr>
        <w:t>“Tư vấn hỗ trợ triển khai các mô hình trường học giảm thiểu rác thải nhựa tại 12</w:t>
      </w:r>
      <w:r w:rsidRPr="005F28B6">
        <w:rPr>
          <w:rFonts w:ascii="Open Sans" w:hAnsi="Open Sans" w:cs="Open Sans"/>
          <w:color w:val="333333"/>
          <w:sz w:val="21"/>
          <w:szCs w:val="21"/>
          <w:shd w:val="clear" w:color="auto" w:fill="FFFFFF"/>
        </w:rPr>
        <w:t xml:space="preserve"> </w:t>
      </w:r>
      <w:r w:rsidRPr="005F28B6">
        <w:rPr>
          <w:rFonts w:ascii="Open Sans" w:hAnsi="Open Sans" w:cs="Open Sans"/>
          <w:color w:val="333333"/>
          <w:sz w:val="21"/>
          <w:szCs w:val="21"/>
          <w:shd w:val="clear" w:color="auto" w:fill="FFFFFF"/>
        </w:rPr>
        <w:t>trường học trên địa bàn các phường Hương Hồ, Hương Phong, Hương Sơ, Kim</w:t>
      </w:r>
      <w:r w:rsidRPr="005F28B6">
        <w:rPr>
          <w:rFonts w:ascii="Open Sans" w:hAnsi="Open Sans" w:cs="Open Sans"/>
          <w:color w:val="333333"/>
          <w:sz w:val="21"/>
          <w:szCs w:val="21"/>
          <w:shd w:val="clear" w:color="auto" w:fill="FFFFFF"/>
        </w:rPr>
        <w:t xml:space="preserve"> </w:t>
      </w:r>
      <w:r w:rsidRPr="005F28B6">
        <w:rPr>
          <w:rFonts w:ascii="Open Sans" w:hAnsi="Open Sans" w:cs="Open Sans"/>
          <w:color w:val="333333"/>
          <w:sz w:val="21"/>
          <w:szCs w:val="21"/>
          <w:shd w:val="clear" w:color="auto" w:fill="FFFFFF"/>
        </w:rPr>
        <w:t>Long, thành phố Huế</w:t>
      </w:r>
      <w:r w:rsidRPr="005F28B6">
        <w:rPr>
          <w:rFonts w:ascii="Open Sans" w:hAnsi="Open Sans" w:cs="Open Sans"/>
          <w:color w:val="333333"/>
          <w:sz w:val="21"/>
          <w:szCs w:val="21"/>
          <w:shd w:val="clear" w:color="auto" w:fill="FFFFFF"/>
        </w:rPr>
        <w:t>”</w:t>
      </w:r>
    </w:p>
    <w:p w14:paraId="33CF631C" w14:textId="4994B28B" w:rsidR="001C3E6B" w:rsidRPr="00546F4C" w:rsidRDefault="005F28B6" w:rsidP="00546F4C">
      <w:pPr>
        <w:spacing w:line="360" w:lineRule="auto"/>
        <w:rPr>
          <w:rFonts w:ascii="Open Sans" w:hAnsi="Open Sans" w:cs="Open Sans"/>
          <w:color w:val="333333"/>
          <w:sz w:val="20"/>
          <w:szCs w:val="20"/>
          <w:shd w:val="clear" w:color="auto" w:fill="FFFFFF"/>
        </w:rPr>
      </w:pPr>
      <w:r>
        <w:rPr>
          <w:rFonts w:ascii="Open Sans" w:hAnsi="Open Sans" w:cs="Open Sans"/>
          <w:color w:val="333333"/>
          <w:sz w:val="21"/>
          <w:szCs w:val="21"/>
          <w:shd w:val="clear" w:color="auto" w:fill="FFFFFF"/>
        </w:rPr>
        <w:t xml:space="preserve">Thông qua tài liệu này, tất cả các câu hỏi được gửi và nhận được cho đến ngày 02 tháng </w:t>
      </w:r>
      <w:r>
        <w:rPr>
          <w:rFonts w:ascii="Open Sans" w:hAnsi="Open Sans" w:cs="Open Sans"/>
          <w:color w:val="333333"/>
          <w:sz w:val="21"/>
          <w:szCs w:val="21"/>
          <w:shd w:val="clear" w:color="auto" w:fill="FFFFFF"/>
        </w:rPr>
        <w:t>02</w:t>
      </w:r>
      <w:r>
        <w:rPr>
          <w:rFonts w:ascii="Open Sans" w:hAnsi="Open Sans" w:cs="Open Sans"/>
          <w:color w:val="333333"/>
          <w:sz w:val="21"/>
          <w:szCs w:val="21"/>
          <w:shd w:val="clear" w:color="auto" w:fill="FFFFFF"/>
        </w:rPr>
        <w:t xml:space="preserve"> năm 202</w:t>
      </w:r>
      <w:r>
        <w:rPr>
          <w:rFonts w:ascii="Open Sans" w:hAnsi="Open Sans" w:cs="Open Sans"/>
          <w:color w:val="333333"/>
          <w:sz w:val="21"/>
          <w:szCs w:val="21"/>
          <w:shd w:val="clear" w:color="auto" w:fill="FFFFFF"/>
        </w:rPr>
        <w:t>3</w:t>
      </w:r>
      <w:r>
        <w:rPr>
          <w:rFonts w:ascii="Open Sans" w:hAnsi="Open Sans" w:cs="Open Sans"/>
          <w:color w:val="333333"/>
          <w:sz w:val="21"/>
          <w:szCs w:val="21"/>
          <w:shd w:val="clear" w:color="auto" w:fill="FFFFFF"/>
        </w:rPr>
        <w:t xml:space="preserve"> đã được tổng hợp và làm rõ </w:t>
      </w:r>
      <w:r>
        <w:rPr>
          <w:rFonts w:ascii="Open Sans" w:hAnsi="Open Sans" w:cs="Open Sans"/>
          <w:color w:val="333333"/>
          <w:sz w:val="21"/>
          <w:szCs w:val="21"/>
          <w:shd w:val="clear" w:color="auto" w:fill="FFFFFF"/>
        </w:rPr>
        <w:t>dưới đây</w:t>
      </w:r>
      <w:r>
        <w:rPr>
          <w:rFonts w:ascii="Open Sans" w:hAnsi="Open Sans" w:cs="Open Sans"/>
          <w:color w:val="333333"/>
          <w:sz w:val="21"/>
          <w:szCs w:val="21"/>
          <w:shd w:val="clear" w:color="auto" w:fill="FFFFFF"/>
        </w:rPr>
        <w:t xml:space="preserve">. Xin lưu ý rằng WWF-Việt Nam có thể từ chối giải thích bất kỳ câu hỏi nào </w:t>
      </w:r>
      <w:r>
        <w:rPr>
          <w:rFonts w:ascii="Open Sans" w:hAnsi="Open Sans" w:cs="Open Sans"/>
          <w:color w:val="333333"/>
          <w:sz w:val="21"/>
          <w:szCs w:val="21"/>
          <w:shd w:val="clear" w:color="auto" w:fill="FFFFFF"/>
        </w:rPr>
        <w:t>sau thời điểm nêu trên</w:t>
      </w:r>
      <w:r>
        <w:rPr>
          <w:rFonts w:ascii="Open Sans" w:hAnsi="Open Sans" w:cs="Open Sans"/>
          <w:color w:val="333333"/>
          <w:sz w:val="21"/>
          <w:szCs w:val="21"/>
          <w:shd w:val="clear" w:color="auto" w:fill="FFFFFF"/>
        </w:rPr>
        <w:t xml:space="preserve"> và những giải thích rõ ràng này cũng sẽ được cung cấp trực tuyến cho tất cả các nhà thầu quan tâm</w:t>
      </w:r>
      <w:r w:rsidR="001C3E6B" w:rsidRPr="00546F4C">
        <w:rPr>
          <w:rFonts w:ascii="Open Sans" w:hAnsi="Open Sans" w:cs="Open Sans"/>
          <w:color w:val="333333"/>
          <w:sz w:val="20"/>
          <w:szCs w:val="20"/>
          <w:shd w:val="clear" w:color="auto" w:fill="FFFFFF"/>
        </w:rPr>
        <w:t>:</w:t>
      </w:r>
    </w:p>
    <w:p w14:paraId="075CBD18" w14:textId="13F16FB2" w:rsidR="00383AC2" w:rsidRPr="00546F4C" w:rsidRDefault="00383AC2" w:rsidP="00383AC2">
      <w:pPr>
        <w:shd w:val="clear" w:color="auto" w:fill="FFFFFF"/>
        <w:spacing w:after="0" w:line="240" w:lineRule="auto"/>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  </w:t>
      </w:r>
    </w:p>
    <w:tbl>
      <w:tblPr>
        <w:tblStyle w:val="TableGrid"/>
        <w:tblW w:w="0" w:type="auto"/>
        <w:tblInd w:w="-5" w:type="dxa"/>
        <w:tblLook w:val="04A0" w:firstRow="1" w:lastRow="0" w:firstColumn="1" w:lastColumn="0" w:noHBand="0" w:noVBand="1"/>
      </w:tblPr>
      <w:tblGrid>
        <w:gridCol w:w="5130"/>
        <w:gridCol w:w="4140"/>
      </w:tblGrid>
      <w:tr w:rsidR="005F28B6" w:rsidRPr="00546F4C" w14:paraId="5E35F18E" w14:textId="77777777" w:rsidTr="00876755">
        <w:trPr>
          <w:trHeight w:val="431"/>
          <w:tblHeader/>
        </w:trPr>
        <w:tc>
          <w:tcPr>
            <w:tcW w:w="5130" w:type="dxa"/>
          </w:tcPr>
          <w:p w14:paraId="79E8E359" w14:textId="2570A5B8" w:rsidR="005F28B6" w:rsidRPr="00876755" w:rsidRDefault="005F28B6" w:rsidP="00064D8D">
            <w:pPr>
              <w:jc w:val="center"/>
              <w:rPr>
                <w:rFonts w:ascii="Open Sans" w:hAnsi="Open Sans" w:cs="Open Sans"/>
                <w:b/>
                <w:bCs/>
                <w:color w:val="333333"/>
                <w:sz w:val="20"/>
                <w:szCs w:val="20"/>
                <w:shd w:val="clear" w:color="auto" w:fill="FFFFFF"/>
              </w:rPr>
            </w:pPr>
            <w:r w:rsidRPr="00876755">
              <w:rPr>
                <w:rFonts w:ascii="Open Sans" w:hAnsi="Open Sans" w:cs="Open Sans"/>
                <w:b/>
                <w:bCs/>
                <w:color w:val="333333"/>
                <w:sz w:val="20"/>
                <w:szCs w:val="20"/>
                <w:shd w:val="clear" w:color="auto" w:fill="FFFFFF"/>
              </w:rPr>
              <w:t>Yêu cầu làm rõ Hồ sơ mời nộp đề xuất</w:t>
            </w:r>
          </w:p>
        </w:tc>
        <w:tc>
          <w:tcPr>
            <w:tcW w:w="4140" w:type="dxa"/>
          </w:tcPr>
          <w:p w14:paraId="7666BB8C" w14:textId="3D3658C5" w:rsidR="005F28B6" w:rsidRPr="00876755" w:rsidRDefault="005F28B6" w:rsidP="00064D8D">
            <w:pPr>
              <w:jc w:val="center"/>
              <w:rPr>
                <w:rFonts w:ascii="Open Sans" w:hAnsi="Open Sans" w:cs="Open Sans"/>
                <w:b/>
                <w:bCs/>
                <w:color w:val="333333"/>
                <w:sz w:val="20"/>
                <w:szCs w:val="20"/>
                <w:shd w:val="clear" w:color="auto" w:fill="FFFFFF"/>
              </w:rPr>
            </w:pPr>
            <w:r w:rsidRPr="00876755">
              <w:rPr>
                <w:rFonts w:ascii="Open Sans" w:hAnsi="Open Sans" w:cs="Open Sans"/>
                <w:b/>
                <w:bCs/>
                <w:color w:val="333333"/>
                <w:sz w:val="20"/>
                <w:szCs w:val="20"/>
                <w:shd w:val="clear" w:color="auto" w:fill="FFFFFF"/>
              </w:rPr>
              <w:t>Nội dung làm rõ của WWF-Việt Nam</w:t>
            </w:r>
          </w:p>
        </w:tc>
      </w:tr>
      <w:tr w:rsidR="005F28B6" w:rsidRPr="00546F4C" w14:paraId="1FA546DD" w14:textId="77777777" w:rsidTr="005F28B6">
        <w:tc>
          <w:tcPr>
            <w:tcW w:w="5130" w:type="dxa"/>
          </w:tcPr>
          <w:p w14:paraId="216B6060" w14:textId="7AE6EEEB"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Nội dung 1:</w:t>
            </w:r>
            <w:r>
              <w:rPr>
                <w:rFonts w:ascii="Open Sans" w:hAnsi="Open Sans" w:cs="Open Sans"/>
                <w:color w:val="333333"/>
                <w:sz w:val="20"/>
                <w:szCs w:val="20"/>
                <w:shd w:val="clear" w:color="auto" w:fill="FFFFFF"/>
              </w:rPr>
              <w:t xml:space="preserve"> </w:t>
            </w:r>
            <w:r w:rsidRPr="00546F4C">
              <w:rPr>
                <w:rFonts w:ascii="Open Sans" w:hAnsi="Open Sans" w:cs="Open Sans"/>
                <w:color w:val="333333"/>
                <w:sz w:val="20"/>
                <w:szCs w:val="20"/>
                <w:shd w:val="clear" w:color="auto" w:fill="FFFFFF"/>
              </w:rPr>
              <w:t>Quy định về số lượng chuyên gia tham gia vào dự án chưa được đề cập tới ( Số lượng tối thiểu và tối đa) </w:t>
            </w:r>
          </w:p>
        </w:tc>
        <w:tc>
          <w:tcPr>
            <w:tcW w:w="4140" w:type="dxa"/>
          </w:tcPr>
          <w:p w14:paraId="2F5D0C15" w14:textId="6DB3D2A6"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Bên mời thầu không giới hạn (tối thiểu/tối đa) số lượng chuyên gia tham gia vào dự án, nhà thầu xây dựng giải pháp và đề xuất</w:t>
            </w:r>
          </w:p>
        </w:tc>
      </w:tr>
      <w:tr w:rsidR="005F28B6" w:rsidRPr="00546F4C" w14:paraId="4A59E931" w14:textId="77777777" w:rsidTr="005F28B6">
        <w:trPr>
          <w:trHeight w:val="2627"/>
        </w:trPr>
        <w:tc>
          <w:tcPr>
            <w:tcW w:w="5130" w:type="dxa"/>
          </w:tcPr>
          <w:p w14:paraId="64153629" w14:textId="3ECCBF57"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Nội dung 2:</w:t>
            </w:r>
            <w:r>
              <w:rPr>
                <w:rFonts w:ascii="Open Sans" w:hAnsi="Open Sans" w:cs="Open Sans"/>
                <w:color w:val="333333"/>
                <w:sz w:val="20"/>
                <w:szCs w:val="20"/>
                <w:shd w:val="clear" w:color="auto" w:fill="FFFFFF"/>
              </w:rPr>
              <w:t xml:space="preserve"> </w:t>
            </w:r>
            <w:r w:rsidRPr="00546F4C">
              <w:rPr>
                <w:rFonts w:ascii="Open Sans" w:hAnsi="Open Sans" w:cs="Open Sans"/>
                <w:color w:val="333333"/>
                <w:sz w:val="20"/>
                <w:szCs w:val="20"/>
                <w:shd w:val="clear" w:color="auto" w:fill="FFFFFF"/>
              </w:rPr>
              <w:t>Đối với các hoạt động đã nêu rõ về các nội dung trong đề xuất tài chính về các đợt triển khai, theo đơn vị nhà thầu hiểu thì sẽ phân chia như sau, đối với nội dung triển khai thời gian trong mục 5. thì tất cả các nội dung hoạt động từ 1- 8 đơn vị nhà thầu bắt buộc phải thực hiện triển khai trong cả hai đợt ( năm 2022-2023 và năm 2023-2024)/ tuy nhiên trong mẫu đề xuất tài chính thì một số nội dung như hoạt động  tập huấn và các hoạt động giảng dạy lồng ghép và hoạt động cải thiện quản lý chất thải rắn trong trường học không ghi rõ về số lượng đợt triển khai/hay do đơn vị tự đề xuất.</w:t>
            </w:r>
          </w:p>
        </w:tc>
        <w:tc>
          <w:tcPr>
            <w:tcW w:w="4140" w:type="dxa"/>
          </w:tcPr>
          <w:p w14:paraId="1CCB9D30" w14:textId="77777777" w:rsidR="005F28B6" w:rsidRPr="00546F4C" w:rsidRDefault="005F28B6" w:rsidP="00383AC2">
            <w:pPr>
              <w:rPr>
                <w:rFonts w:ascii="Open Sans" w:hAnsi="Open Sans" w:cs="Open Sans"/>
                <w:color w:val="333333"/>
                <w:sz w:val="20"/>
                <w:szCs w:val="20"/>
                <w:shd w:val="clear" w:color="auto" w:fill="FFFFFF"/>
              </w:rPr>
            </w:pPr>
          </w:p>
        </w:tc>
      </w:tr>
      <w:tr w:rsidR="005F28B6" w:rsidRPr="00546F4C" w14:paraId="0329703C" w14:textId="77777777" w:rsidTr="005F28B6">
        <w:trPr>
          <w:trHeight w:val="539"/>
        </w:trPr>
        <w:tc>
          <w:tcPr>
            <w:tcW w:w="5130" w:type="dxa"/>
          </w:tcPr>
          <w:p w14:paraId="0B580C7E" w14:textId="210944A7"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Đối với hoạt động 1: Sẽ được triển khai thành hai đợt tại 12 trường ( tháng 3/2023 và tháng 8/2023 )</w:t>
            </w:r>
          </w:p>
        </w:tc>
        <w:tc>
          <w:tcPr>
            <w:tcW w:w="4140" w:type="dxa"/>
          </w:tcPr>
          <w:p w14:paraId="4BE3F48C" w14:textId="20853C9C"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Chính xác</w:t>
            </w:r>
          </w:p>
        </w:tc>
      </w:tr>
      <w:tr w:rsidR="005F28B6" w:rsidRPr="00546F4C" w14:paraId="33134570" w14:textId="77777777" w:rsidTr="005F28B6">
        <w:trPr>
          <w:trHeight w:val="422"/>
        </w:trPr>
        <w:tc>
          <w:tcPr>
            <w:tcW w:w="5130" w:type="dxa"/>
          </w:tcPr>
          <w:p w14:paraId="4EF8BAC6" w14:textId="4F6F3F0E"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Đối với hoạt động 2 : Xây dựng 5 báo cáo trong hai đợt </w:t>
            </w:r>
          </w:p>
        </w:tc>
        <w:tc>
          <w:tcPr>
            <w:tcW w:w="4140" w:type="dxa"/>
          </w:tcPr>
          <w:p w14:paraId="37221F30" w14:textId="62B4CB85"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Chính xác</w:t>
            </w:r>
          </w:p>
        </w:tc>
      </w:tr>
      <w:tr w:rsidR="005F28B6" w:rsidRPr="00546F4C" w14:paraId="1DD28220" w14:textId="77777777" w:rsidTr="005F28B6">
        <w:trPr>
          <w:trHeight w:val="2474"/>
        </w:trPr>
        <w:tc>
          <w:tcPr>
            <w:tcW w:w="5130" w:type="dxa"/>
          </w:tcPr>
          <w:p w14:paraId="264B9E86" w14:textId="53335BEE"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lastRenderedPageBreak/>
              <w:t>Đối với hoạt động 3: Tổ chức tập huấn cho các trường, ở đây đơn vị nhà thầu chưa rõ về số lượng các đợt tập huấn triển khai / Do đơn vị tự đề xuất hay thực hiện theo đúng 2 đợt của 2 năm học( và số lượng buổi tập huấn)</w:t>
            </w:r>
          </w:p>
        </w:tc>
        <w:tc>
          <w:tcPr>
            <w:tcW w:w="4140" w:type="dxa"/>
          </w:tcPr>
          <w:p w14:paraId="3E0D4310" w14:textId="3F5DDC38" w:rsidR="005F28B6" w:rsidRPr="00546F4C" w:rsidRDefault="005F28B6" w:rsidP="00383AC2">
            <w:pPr>
              <w:shd w:val="clear" w:color="auto" w:fill="FFFFFF"/>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Tập huấn hướng dẫn kiểm toán rác chỉ cần thực hiện 01 lần cho 02 năm học để các trường học  nắm được phương pháp kiểm toán và thực hiện tương tự cho các lần kế tiếp như đã nêu tại chú thích tại Mục B của Đề xuất tài chính.</w:t>
            </w:r>
          </w:p>
        </w:tc>
      </w:tr>
      <w:tr w:rsidR="005F28B6" w:rsidRPr="00546F4C" w14:paraId="6C17FAEE" w14:textId="77777777" w:rsidTr="005F28B6">
        <w:tc>
          <w:tcPr>
            <w:tcW w:w="5130" w:type="dxa"/>
          </w:tcPr>
          <w:p w14:paraId="5BA1CAF4" w14:textId="33385CC6"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Đối với hoạt động 4: Hoạt động được tổ chức 2 đợt/ số lượng tiết học dự giờ là do đơn vị tự đề xuất và bắt buộc thực hiện trong cả 2 đợt đối với 12 trường học</w:t>
            </w:r>
          </w:p>
        </w:tc>
        <w:tc>
          <w:tcPr>
            <w:tcW w:w="4140" w:type="dxa"/>
          </w:tcPr>
          <w:p w14:paraId="68F3CD4D" w14:textId="27EAD6B7" w:rsidR="005F28B6" w:rsidRPr="00546F4C" w:rsidRDefault="005F28B6" w:rsidP="00383AC2">
            <w:pPr>
              <w:shd w:val="clear" w:color="auto" w:fill="FFFFFF"/>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Dự án yêu cầu tối thiểu 1 tiết học/khối/trường. Số đợt và số lượng tiết học dự giờ cụ thể do đơn vị tư vấn đề xuất</w:t>
            </w:r>
          </w:p>
        </w:tc>
      </w:tr>
      <w:tr w:rsidR="005F28B6" w:rsidRPr="00546F4C" w14:paraId="643C56B7" w14:textId="77777777" w:rsidTr="005F28B6">
        <w:trPr>
          <w:trHeight w:val="368"/>
        </w:trPr>
        <w:tc>
          <w:tcPr>
            <w:tcW w:w="5130" w:type="dxa"/>
          </w:tcPr>
          <w:p w14:paraId="4C58C43C" w14:textId="5445120C"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Đối với hoạt động 5: Được chia làm 2 đợt đã có ghi rõ</w:t>
            </w:r>
          </w:p>
        </w:tc>
        <w:tc>
          <w:tcPr>
            <w:tcW w:w="4140" w:type="dxa"/>
          </w:tcPr>
          <w:p w14:paraId="046CFD41" w14:textId="0E870C30"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Chính xác</w:t>
            </w:r>
          </w:p>
        </w:tc>
      </w:tr>
      <w:tr w:rsidR="005F28B6" w:rsidRPr="00546F4C" w14:paraId="737DF857" w14:textId="77777777" w:rsidTr="005F28B6">
        <w:tc>
          <w:tcPr>
            <w:tcW w:w="5130" w:type="dxa"/>
          </w:tcPr>
          <w:p w14:paraId="191CC709" w14:textId="0953D126"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Đối với hoạt động 6: Tư vấn Kỹ thuật chỉ tổ chức hoạt động tư vấn và hỗ trợ cũng được chia thành 2 đợt</w:t>
            </w:r>
          </w:p>
        </w:tc>
        <w:tc>
          <w:tcPr>
            <w:tcW w:w="4140" w:type="dxa"/>
          </w:tcPr>
          <w:p w14:paraId="000C50A2" w14:textId="48752D11" w:rsidR="005F28B6" w:rsidRPr="00546F4C" w:rsidRDefault="005F28B6" w:rsidP="00383AC2">
            <w:pPr>
              <w:rPr>
                <w:rFonts w:ascii="Open Sans" w:hAnsi="Open Sans" w:cs="Open Sans"/>
                <w:color w:val="333333"/>
                <w:sz w:val="20"/>
                <w:szCs w:val="20"/>
                <w:shd w:val="clear" w:color="auto" w:fill="FFFFFF"/>
              </w:rPr>
            </w:pPr>
            <w:r w:rsidRPr="00546F4C">
              <w:rPr>
                <w:rFonts w:ascii="Open Sans" w:hAnsi="Open Sans" w:cs="Open Sans"/>
                <w:color w:val="333333"/>
                <w:sz w:val="20"/>
                <w:szCs w:val="20"/>
                <w:shd w:val="clear" w:color="auto" w:fill="FFFFFF"/>
              </w:rPr>
              <w:t>Đây là hoạt động cải thiện công tác quản lý chất thải rắn trong trường học, không nhất thiết phụ thuộc vào năm học. Thời gian triển khai và hoạt động cụ thể do đơn vị tư vấn đề xuất. Phần này không chỉ là tư vấn mà cần triển khai hoạt động cụ thể luôn như mô hình ủ phân compost rác hữu cơ</w:t>
            </w:r>
          </w:p>
        </w:tc>
      </w:tr>
    </w:tbl>
    <w:p w14:paraId="7F96B82E" w14:textId="08E65522" w:rsidR="00383AC2" w:rsidRPr="00546F4C" w:rsidRDefault="00383AC2" w:rsidP="00383AC2">
      <w:pPr>
        <w:shd w:val="clear" w:color="auto" w:fill="FFFFFF"/>
        <w:spacing w:after="0" w:line="240" w:lineRule="auto"/>
        <w:rPr>
          <w:rFonts w:ascii="Open Sans" w:hAnsi="Open Sans" w:cs="Open Sans"/>
          <w:color w:val="333333"/>
          <w:sz w:val="20"/>
          <w:szCs w:val="20"/>
          <w:shd w:val="clear" w:color="auto" w:fill="FFFFFF"/>
        </w:rPr>
      </w:pPr>
    </w:p>
    <w:p w14:paraId="262F77A9" w14:textId="45500080" w:rsidR="00F8544C" w:rsidRDefault="00546F4C">
      <w:pPr>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Nhà thầu có thể tìm kiếm thông tin chi tiết của gói thầu số FY23-</w:t>
      </w:r>
      <w:r>
        <w:rPr>
          <w:rFonts w:ascii="Open Sans" w:hAnsi="Open Sans" w:cs="Open Sans"/>
          <w:color w:val="333333"/>
          <w:sz w:val="21"/>
          <w:szCs w:val="21"/>
          <w:shd w:val="clear" w:color="auto" w:fill="FFFFFF"/>
        </w:rPr>
        <w:t xml:space="preserve">0972 </w:t>
      </w:r>
      <w:r>
        <w:rPr>
          <w:rFonts w:ascii="Open Sans" w:hAnsi="Open Sans" w:cs="Open Sans"/>
          <w:color w:val="333333"/>
          <w:sz w:val="21"/>
          <w:szCs w:val="21"/>
          <w:shd w:val="clear" w:color="auto" w:fill="FFFFFF"/>
        </w:rPr>
        <w:t>tại:</w:t>
      </w:r>
    </w:p>
    <w:p w14:paraId="29300D36" w14:textId="36EE9D8C" w:rsidR="00546F4C" w:rsidRPr="00546F4C" w:rsidRDefault="00546F4C">
      <w:pPr>
        <w:rPr>
          <w:rFonts w:ascii="Open Sans" w:hAnsi="Open Sans" w:cs="Open Sans"/>
          <w:color w:val="333333"/>
          <w:sz w:val="20"/>
          <w:szCs w:val="20"/>
          <w:shd w:val="clear" w:color="auto" w:fill="FFFFFF"/>
        </w:rPr>
      </w:pPr>
      <w:hyperlink r:id="rId4" w:tgtFrame="_blank" w:history="1">
        <w:r>
          <w:rPr>
            <w:rStyle w:val="Hyperlink"/>
            <w:rFonts w:ascii="Calibri" w:hAnsi="Calibri" w:cs="Calibri"/>
            <w:color w:val="0563C1"/>
            <w:shd w:val="clear" w:color="auto" w:fill="FFFFFF"/>
          </w:rPr>
          <w:t>https://vietnam.panda.org/get_involved_vn/jobs_vn/?uNewsID=377856</w:t>
        </w:r>
      </w:hyperlink>
    </w:p>
    <w:sectPr w:rsidR="00546F4C" w:rsidRPr="00546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C2"/>
    <w:rsid w:val="00064D8D"/>
    <w:rsid w:val="001C3E6B"/>
    <w:rsid w:val="001F00D7"/>
    <w:rsid w:val="00383AC2"/>
    <w:rsid w:val="00546F4C"/>
    <w:rsid w:val="005830C5"/>
    <w:rsid w:val="005F28B6"/>
    <w:rsid w:val="00876755"/>
    <w:rsid w:val="00D95814"/>
    <w:rsid w:val="00F8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BCB6"/>
  <w15:chartTrackingRefBased/>
  <w15:docId w15:val="{FCFF098E-C025-4332-818B-BC11F845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3E6B"/>
    <w:pPr>
      <w:spacing w:after="0" w:line="240" w:lineRule="auto"/>
    </w:pPr>
  </w:style>
  <w:style w:type="paragraph" w:styleId="BodyText">
    <w:name w:val="Body Text"/>
    <w:aliases w:val="B-text1.5,Body Text Char Char Char Char Char,Body Text Char Char Char Char,Body Text Char Char Char Char Char Char Char Char Char Char Char Char Char Char Char,Body Text Char Char Char Char Char Char,ändrad,EHPT,Body Text2,Body3,AvtalBrödtext"/>
    <w:basedOn w:val="Normal"/>
    <w:link w:val="BodyTextChar"/>
    <w:rsid w:val="001C3E6B"/>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B-text1.5 Char,Body Text Char Char Char Char Char Char1,Body Text Char Char Char Char Char1,Body Text Char Char Char Char Char Char Char Char Char Char Char Char Char Char Char Char,Body Text Char Char Char Char Char Char Char,ändrad Char"/>
    <w:basedOn w:val="DefaultParagraphFont"/>
    <w:link w:val="BodyText"/>
    <w:qFormat/>
    <w:rsid w:val="001C3E6B"/>
    <w:rPr>
      <w:rFonts w:ascii="Times New Roman" w:eastAsia="Times New Roman" w:hAnsi="Times New Roman" w:cs="Times New Roman"/>
      <w:spacing w:val="-4"/>
      <w:sz w:val="24"/>
      <w:szCs w:val="20"/>
      <w:lang w:val="x-none" w:eastAsia="x-none"/>
    </w:rPr>
  </w:style>
  <w:style w:type="character" w:styleId="Hyperlink">
    <w:name w:val="Hyperlink"/>
    <w:basedOn w:val="DefaultParagraphFont"/>
    <w:uiPriority w:val="99"/>
    <w:semiHidden/>
    <w:unhideWhenUsed/>
    <w:rsid w:val="00546F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62423">
      <w:bodyDiv w:val="1"/>
      <w:marLeft w:val="0"/>
      <w:marRight w:val="0"/>
      <w:marTop w:val="0"/>
      <w:marBottom w:val="0"/>
      <w:divBdr>
        <w:top w:val="none" w:sz="0" w:space="0" w:color="auto"/>
        <w:left w:val="none" w:sz="0" w:space="0" w:color="auto"/>
        <w:bottom w:val="none" w:sz="0" w:space="0" w:color="auto"/>
        <w:right w:val="none" w:sz="0" w:space="0" w:color="auto"/>
      </w:divBdr>
    </w:div>
    <w:div w:id="188910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tnam.panda.org/get_involved_vn/jobs_vn/?uNewsID=377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Vu Thi Thanh</dc:creator>
  <cp:keywords/>
  <dc:description/>
  <cp:lastModifiedBy>Binh Vu Thi Thanh</cp:lastModifiedBy>
  <cp:revision>8</cp:revision>
  <dcterms:created xsi:type="dcterms:W3CDTF">2023-02-02T10:04:00Z</dcterms:created>
  <dcterms:modified xsi:type="dcterms:W3CDTF">2023-02-03T08:54:00Z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cc66c0a1-a8aa-4d57-a37f-c06dbac75539</vt:lpwstr>
  </property>
</Properties>
</file>