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58A06CCF"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w:t>
      </w:r>
      <w:r w:rsidR="00C004D6">
        <w:rPr>
          <w:rFonts w:ascii="Arial" w:hAnsi="Arial" w:cs="Arial"/>
          <w:b/>
          <w:bCs/>
          <w:sz w:val="20"/>
          <w:szCs w:val="20"/>
          <w:lang w:val="en-US"/>
        </w:rPr>
        <w:t>6</w:t>
      </w:r>
    </w:p>
    <w:p w14:paraId="19489343" w14:textId="45C6B686"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C004D6" w:rsidRPr="00C004D6">
        <w:rPr>
          <w:rFonts w:ascii="Arial" w:hAnsi="Arial" w:cs="Arial"/>
          <w:b/>
          <w:bCs/>
          <w:sz w:val="20"/>
          <w:szCs w:val="20"/>
          <w:lang w:val="vi-VN"/>
        </w:rPr>
        <w:t xml:space="preserve">Rà soát, đánh giá và hoàn thiện cơ sở dữ liệu cho </w:t>
      </w:r>
      <w:r w:rsidR="00C004D6" w:rsidRPr="00C004D6">
        <w:rPr>
          <w:rFonts w:ascii="Arial" w:hAnsi="Arial" w:cs="Arial"/>
          <w:b/>
          <w:bCs/>
          <w:i/>
          <w:iCs/>
          <w:sz w:val="20"/>
          <w:szCs w:val="20"/>
          <w:lang w:val="vi-VN"/>
        </w:rPr>
        <w:t>“Các khu vực có biện pháp bảo tồn hiệu quả khác (OECM)</w:t>
      </w:r>
      <w:r w:rsidR="00C004D6" w:rsidRPr="00C004D6">
        <w:rPr>
          <w:rFonts w:ascii="Arial" w:hAnsi="Arial" w:cs="Arial"/>
          <w:b/>
          <w:bCs/>
          <w:sz w:val="20"/>
          <w:szCs w:val="20"/>
          <w:lang w:val="vi-VN"/>
        </w:rPr>
        <w:t>” tiềm năng tại Thành phố Đà Nẵng</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22B2F4CC"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w:t>
      </w:r>
      <w:r w:rsidR="00C004D6">
        <w:rPr>
          <w:rFonts w:ascii="Arial" w:hAnsi="Arial" w:cs="Arial"/>
          <w:b/>
          <w:sz w:val="20"/>
          <w:szCs w:val="20"/>
          <w:lang w:val="en-US"/>
        </w:rPr>
        <w:t>6</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C004D6">
        <w:rPr>
          <w:rFonts w:ascii="Arial" w:hAnsi="Arial" w:cs="Arial"/>
          <w:b/>
          <w:bCs/>
          <w:sz w:val="20"/>
          <w:szCs w:val="20"/>
          <w:lang w:val="en-US"/>
        </w:rPr>
        <w:t>thành phố Đà Nẵng</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70ED78F1"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5B4B0D">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5B4B0D">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BA0160">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w:t>
      </w:r>
      <w:r w:rsidR="00BA0160">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2535"/>
    <w:rsid w:val="00095782"/>
    <w:rsid w:val="00117E73"/>
    <w:rsid w:val="002E0197"/>
    <w:rsid w:val="002E6204"/>
    <w:rsid w:val="003129D5"/>
    <w:rsid w:val="00341AD9"/>
    <w:rsid w:val="00350265"/>
    <w:rsid w:val="00373D54"/>
    <w:rsid w:val="003B59FC"/>
    <w:rsid w:val="003F6D78"/>
    <w:rsid w:val="00440505"/>
    <w:rsid w:val="004500A8"/>
    <w:rsid w:val="004D138A"/>
    <w:rsid w:val="00500ED6"/>
    <w:rsid w:val="005543E8"/>
    <w:rsid w:val="005647C1"/>
    <w:rsid w:val="005B4B0D"/>
    <w:rsid w:val="005C0EB5"/>
    <w:rsid w:val="005F78FB"/>
    <w:rsid w:val="00610441"/>
    <w:rsid w:val="00651444"/>
    <w:rsid w:val="00655F34"/>
    <w:rsid w:val="006730BC"/>
    <w:rsid w:val="00695879"/>
    <w:rsid w:val="006F72C0"/>
    <w:rsid w:val="007022E8"/>
    <w:rsid w:val="00762E75"/>
    <w:rsid w:val="00784CA7"/>
    <w:rsid w:val="007A7C83"/>
    <w:rsid w:val="007E071D"/>
    <w:rsid w:val="00851FCA"/>
    <w:rsid w:val="008B2862"/>
    <w:rsid w:val="008E25E3"/>
    <w:rsid w:val="00995BBB"/>
    <w:rsid w:val="00995CCA"/>
    <w:rsid w:val="009D16C2"/>
    <w:rsid w:val="009D2D5D"/>
    <w:rsid w:val="00A20F3D"/>
    <w:rsid w:val="00A640A3"/>
    <w:rsid w:val="00A7423B"/>
    <w:rsid w:val="00AC40EF"/>
    <w:rsid w:val="00AE1853"/>
    <w:rsid w:val="00AE29A9"/>
    <w:rsid w:val="00AE7C5F"/>
    <w:rsid w:val="00B56192"/>
    <w:rsid w:val="00B624BB"/>
    <w:rsid w:val="00B811B9"/>
    <w:rsid w:val="00BA0160"/>
    <w:rsid w:val="00BD482C"/>
    <w:rsid w:val="00C004D6"/>
    <w:rsid w:val="00C10C30"/>
    <w:rsid w:val="00C226B3"/>
    <w:rsid w:val="00C23548"/>
    <w:rsid w:val="00C368E7"/>
    <w:rsid w:val="00CA1449"/>
    <w:rsid w:val="00CD0A26"/>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911</Words>
  <Characters>3009</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2025-11-03T04:17:00Z</dcterms:created>
  <dcterms:modified xsi:type="dcterms:W3CDTF">2025-11-03T04:21:00Z</dcterms:modified>
</cp:coreProperties>
</file>